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（様式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三種町窓口キャッシュレス化事業公募型プロポーザル宣誓書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三種町長　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000000"/>
          <w:spacing w:val="190"/>
          <w:kern w:val="0"/>
          <w:sz w:val="24"/>
          <w:u w:val="dotted" w:color="auto"/>
          <w:fitText w:val="1482" w:id="1"/>
        </w:rPr>
        <w:t>所在</w:t>
      </w:r>
      <w:r>
        <w:rPr>
          <w:rFonts w:hint="eastAsia" w:asciiTheme="minorEastAsia" w:hAnsiTheme="minorEastAsia" w:eastAsiaTheme="minorEastAsia"/>
          <w:color w:val="000000"/>
          <w:spacing w:val="1"/>
          <w:kern w:val="0"/>
          <w:sz w:val="24"/>
          <w:u w:val="dotted" w:color="auto"/>
          <w:fitText w:val="1482" w:id="1"/>
        </w:rPr>
        <w:t>地</w:t>
      </w:r>
      <w:r>
        <w:rPr>
          <w:rFonts w:hint="eastAsia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z w:val="24"/>
          <w:u w:val="dotted" w:color="auto"/>
        </w:rPr>
        <w:t>商号又は名称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2"/>
        </w:rPr>
        <w:t>代表者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2"/>
        </w:rPr>
        <w:t>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3"/>
        </w:rPr>
        <w:t>担当者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3"/>
        </w:rPr>
        <w:t>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spacing w:val="73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4"/>
        </w:rPr>
        <w:t>電話番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4"/>
        </w:rPr>
        <w:t>号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139" w:leftChars="66" w:right="0" w:rightChars="0" w:firstLine="282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三種町窓口キャッシュレス化事業</w:t>
      </w:r>
      <w:r>
        <w:rPr>
          <w:rFonts w:hint="eastAsia" w:asciiTheme="minorEastAsia" w:hAnsiTheme="minorEastAsia" w:eastAsiaTheme="minorEastAsia"/>
          <w:sz w:val="24"/>
        </w:rPr>
        <w:t>公募型プロポーザル実施要綱」の２．１参加資格に記載した各項目に相違ありません。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118</Characters>
  <Application>JUST Note</Application>
  <Lines>16</Lines>
  <Paragraphs>10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2024-04-22T09:15:15Z</cp:lastPrinted>
  <dcterms:created xsi:type="dcterms:W3CDTF">2021-04-07T06:52:00Z</dcterms:created>
  <dcterms:modified xsi:type="dcterms:W3CDTF">2024-05-10T08:52:46Z</dcterms:modified>
  <cp:revision>5</cp:revision>
</cp:coreProperties>
</file>