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4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三種町窓口キャッシュレス化事業　決済手数料率内訳書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○クレジットカード</w:t>
      </w: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35"/>
        <w:gridCol w:w="1983"/>
        <w:gridCol w:w="2381"/>
      </w:tblGrid>
      <w:tr>
        <w:trPr/>
        <w:tc>
          <w:tcPr>
            <w:tcW w:w="413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手数料率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ＶＩＳＡ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Ｍａｓｔｅｒｃａｒｄ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ＪＣＢ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ＡＭＥＸ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ＤｉｎｅｒｓＣｌｕｂ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○電子マネー</w:t>
      </w: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35"/>
        <w:gridCol w:w="1983"/>
        <w:gridCol w:w="2381"/>
      </w:tblGrid>
      <w:tr>
        <w:trPr/>
        <w:tc>
          <w:tcPr>
            <w:tcW w:w="413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手数料率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ＷＡＯＮ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交通系電子マネー（Ｓｕｉｃａ等）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ｎａｎａｃｏ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楽天Ｅｄｙ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○コード決済</w:t>
      </w: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35"/>
        <w:gridCol w:w="1983"/>
        <w:gridCol w:w="2381"/>
      </w:tblGrid>
      <w:tr>
        <w:trPr/>
        <w:tc>
          <w:tcPr>
            <w:tcW w:w="413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手数料率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楽天ペイ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ｄ払い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ＰａｙＰａｙ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ａｕＰＡＹ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413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23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※行が足りない場合は適宜追加すること。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</Words>
  <Characters>194</Characters>
  <Application>JUST Note</Application>
  <Lines>81</Lines>
  <Paragraphs>49</Paragraphs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三種町</dc:creator>
  <cp:lastModifiedBy>三種町</cp:lastModifiedBy>
  <dcterms:created xsi:type="dcterms:W3CDTF">2024-05-10T08:16:00Z</dcterms:created>
  <dcterms:modified xsi:type="dcterms:W3CDTF">2024-05-14T09:32:59Z</dcterms:modified>
  <cp:revision>3</cp:revision>
</cp:coreProperties>
</file>